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D2" w:rsidRPr="00EB515A" w:rsidRDefault="00245F18" w:rsidP="00B52FD2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5A">
        <w:rPr>
          <w:rFonts w:ascii="Times New Roman" w:hAnsi="Times New Roman" w:cs="Times New Roman"/>
          <w:b/>
          <w:sz w:val="28"/>
          <w:szCs w:val="28"/>
        </w:rPr>
        <w:t>Ужесточены требования к кадастровым инженерам, а также определены особенности внеочередной государственной кадастровой оценки</w:t>
      </w:r>
    </w:p>
    <w:p w:rsidR="00B52FD2" w:rsidRDefault="00B52FD2" w:rsidP="00224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1F6">
        <w:rPr>
          <w:rFonts w:ascii="Times New Roman" w:hAnsi="Times New Roman" w:cs="Times New Roman"/>
          <w:bCs/>
          <w:sz w:val="28"/>
          <w:szCs w:val="28"/>
        </w:rPr>
        <w:t xml:space="preserve">С 1 января 2020 года вступили в силу нормы </w:t>
      </w:r>
      <w:r w:rsidRPr="004261F6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03.07.2016 №</w:t>
      </w:r>
      <w:r w:rsidRPr="004261F6">
        <w:rPr>
          <w:rFonts w:ascii="Times New Roman" w:hAnsi="Times New Roman" w:cs="Times New Roman"/>
          <w:sz w:val="28"/>
          <w:szCs w:val="28"/>
        </w:rPr>
        <w:t xml:space="preserve"> 237-ФЗ «О государственной кадастровой оценке», согласно которым </w:t>
      </w:r>
      <w:r w:rsidRPr="004261F6">
        <w:rPr>
          <w:rFonts w:ascii="Times New Roman" w:hAnsi="Times New Roman" w:cs="Times New Roman"/>
          <w:bCs/>
          <w:sz w:val="28"/>
          <w:szCs w:val="28"/>
        </w:rPr>
        <w:t xml:space="preserve">требование о наличии у кадастрового инженера высшего образования по установленным </w:t>
      </w:r>
      <w:hyperlink r:id="rId4" w:history="1">
        <w:r w:rsidRPr="004261F6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направлениям</w:t>
        </w:r>
      </w:hyperlink>
      <w:r w:rsidRPr="004261F6">
        <w:rPr>
          <w:rFonts w:ascii="Times New Roman" w:hAnsi="Times New Roman" w:cs="Times New Roman"/>
          <w:bCs/>
          <w:sz w:val="28"/>
          <w:szCs w:val="28"/>
        </w:rPr>
        <w:t xml:space="preserve"> подготовки либо иного высшего образования и ДПО применяется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261F6">
        <w:rPr>
          <w:rFonts w:ascii="Times New Roman" w:hAnsi="Times New Roman" w:cs="Times New Roman"/>
          <w:bCs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261F6">
        <w:rPr>
          <w:rFonts w:ascii="Times New Roman" w:hAnsi="Times New Roman" w:cs="Times New Roman"/>
          <w:bCs/>
          <w:sz w:val="28"/>
          <w:szCs w:val="28"/>
        </w:rPr>
        <w:t xml:space="preserve"> к лицам, имевшим на 01.07.2016 действующие аттестаты кадастрового инженера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bCs/>
          <w:sz w:val="28"/>
          <w:szCs w:val="28"/>
        </w:rPr>
        <w:t>Кроме того, определены особенности проведения внеочередной государственной кадастровой оценки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Внеочередная государственная кадастровая оценка проводится с учетом следующих особенностей: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- определение кадастровой стоимости при проведении внеочередной государственной кадастровой оценки осуществляется в течение 3 месяцев со дня опубликования соответствующего индекса рынка недвижимости;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- перечень формируется по состоянию на день опубликования соответствующего индекса рынка недвижимости;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- размещение промежуточных отчетных документов при проведении внеочередной государственной кадастровой оценки не осуществляется.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Кадастровая стоимость, полученная в ходе проведения внеочередной государственной кадастровой оценки, не может превышать кадастровую стоимость, содержащуюся в ЕГРН на дату проведения такой оценки.</w:t>
      </w:r>
    </w:p>
    <w:p w:rsidR="004261F6" w:rsidRPr="004261F6" w:rsidRDefault="004261F6" w:rsidP="00426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1F6">
        <w:rPr>
          <w:rFonts w:ascii="Times New Roman" w:hAnsi="Times New Roman" w:cs="Times New Roman"/>
          <w:sz w:val="28"/>
          <w:szCs w:val="28"/>
        </w:rPr>
        <w:t>В случае превышения кадастровой стоимости, полученной в ходе проведения внеочередной государственной кадастровой оценки, над кадастровой стоимостью, содержащейся в ЕГРН на дату проведения такой оценки, кадастровая стоимость не изменяется.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1D0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494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4BE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CA7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5A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0D46FCA90BAE96A54AC0847D0BC1C576DAD9473553660C0A9B584BAAAE3D37DA96D600C6858401D8D48CC876E218585349C345BD49A808RD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2</cp:revision>
  <dcterms:created xsi:type="dcterms:W3CDTF">2020-03-04T18:24:00Z</dcterms:created>
  <dcterms:modified xsi:type="dcterms:W3CDTF">2020-03-04T18:24:00Z</dcterms:modified>
</cp:coreProperties>
</file>